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0A" w:rsidRDefault="000B5F30" w:rsidP="000B5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Словарь ключевых понятий</w:t>
      </w:r>
    </w:p>
    <w:p w:rsidR="007957E4" w:rsidRDefault="007957E4" w:rsidP="000B5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482" w:rsidRDefault="00097482" w:rsidP="00097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097482">
        <w:rPr>
          <w:rFonts w:ascii="Times New Roman" w:hAnsi="Times New Roman" w:cs="Times New Roman"/>
          <w:sz w:val="24"/>
          <w:szCs w:val="24"/>
          <w:u w:val="single"/>
        </w:rPr>
        <w:t>екст</w:t>
      </w:r>
      <w:r w:rsidRPr="00097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97482">
        <w:rPr>
          <w:rFonts w:ascii="Times New Roman" w:hAnsi="Times New Roman" w:cs="Times New Roman"/>
          <w:sz w:val="24"/>
          <w:szCs w:val="24"/>
        </w:rPr>
        <w:t xml:space="preserve">сообщение в письменной форме, характеризующееся смысловой и структурной завершённостью и определённым отношением автора к </w:t>
      </w:r>
      <w:proofErr w:type="gramStart"/>
      <w:r w:rsidRPr="00097482">
        <w:rPr>
          <w:rFonts w:ascii="Times New Roman" w:hAnsi="Times New Roman" w:cs="Times New Roman"/>
          <w:sz w:val="24"/>
          <w:szCs w:val="24"/>
        </w:rPr>
        <w:t>сообщаемому</w:t>
      </w:r>
      <w:proofErr w:type="gramEnd"/>
      <w:r w:rsidRPr="00097482">
        <w:rPr>
          <w:rFonts w:ascii="Times New Roman" w:hAnsi="Times New Roman" w:cs="Times New Roman"/>
          <w:sz w:val="24"/>
          <w:szCs w:val="24"/>
        </w:rPr>
        <w:t>. В синтаксическом отношении те</w:t>
      </w:r>
      <w:proofErr w:type="gramStart"/>
      <w:r w:rsidRPr="00097482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097482">
        <w:rPr>
          <w:rFonts w:ascii="Times New Roman" w:hAnsi="Times New Roman" w:cs="Times New Roman"/>
          <w:sz w:val="24"/>
          <w:szCs w:val="24"/>
        </w:rPr>
        <w:t xml:space="preserve">едставляет собой совокупность предложений (реже одно предложение), связанных по смыслу и с помощью лексико-грамматических средств. </w:t>
      </w:r>
      <w:proofErr w:type="gramStart"/>
      <w:r w:rsidRPr="00097482">
        <w:rPr>
          <w:rFonts w:ascii="Times New Roman" w:hAnsi="Times New Roman" w:cs="Times New Roman"/>
          <w:sz w:val="24"/>
          <w:szCs w:val="24"/>
        </w:rPr>
        <w:t>(Лосева Л.М. Как строится текст.</w:t>
      </w:r>
      <w:proofErr w:type="gramEnd"/>
      <w:r w:rsidRPr="00097482">
        <w:rPr>
          <w:rFonts w:ascii="Times New Roman" w:hAnsi="Times New Roman" w:cs="Times New Roman"/>
          <w:sz w:val="24"/>
          <w:szCs w:val="24"/>
        </w:rPr>
        <w:t xml:space="preserve"> – М., 1980,с.4)</w:t>
      </w:r>
    </w:p>
    <w:p w:rsidR="00097482" w:rsidRDefault="00EB201B" w:rsidP="00EB2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1B">
        <w:rPr>
          <w:rFonts w:ascii="Times New Roman" w:hAnsi="Times New Roman" w:cs="Times New Roman"/>
          <w:sz w:val="24"/>
          <w:szCs w:val="24"/>
          <w:u w:val="single"/>
        </w:rPr>
        <w:t>Образ автора</w:t>
      </w:r>
      <w:r w:rsidRPr="00EB201B">
        <w:rPr>
          <w:rFonts w:ascii="Times New Roman" w:hAnsi="Times New Roman" w:cs="Times New Roman"/>
          <w:sz w:val="24"/>
          <w:szCs w:val="24"/>
        </w:rPr>
        <w:t xml:space="preserve"> – «концентрированное воплощение сути произведения, объединяющее всю систему речевых структур персонажей в их соотношении с повествователем – рассказчиком или рассказчиками и через них являющееся идейно-стилистическим  средоточием, фокусом целого». </w:t>
      </w:r>
      <w:proofErr w:type="gramStart"/>
      <w:r w:rsidRPr="00EB201B">
        <w:rPr>
          <w:rFonts w:ascii="Times New Roman" w:hAnsi="Times New Roman" w:cs="Times New Roman"/>
          <w:sz w:val="24"/>
          <w:szCs w:val="24"/>
        </w:rPr>
        <w:t>(Виноградов В.В. О теории художественной речи.</w:t>
      </w:r>
      <w:proofErr w:type="gramEnd"/>
      <w:r w:rsidRPr="00EB201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B201B">
        <w:rPr>
          <w:rFonts w:ascii="Times New Roman" w:hAnsi="Times New Roman" w:cs="Times New Roman"/>
          <w:sz w:val="24"/>
          <w:szCs w:val="24"/>
        </w:rPr>
        <w:t>М., 1971, с.118)</w:t>
      </w:r>
      <w:proofErr w:type="gramEnd"/>
    </w:p>
    <w:p w:rsidR="00EB201B" w:rsidRPr="005E54D3" w:rsidRDefault="005E54D3" w:rsidP="005E54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Понимание художественного текста. </w:t>
      </w:r>
      <w:r w:rsidRPr="005E54D3">
        <w:rPr>
          <w:rFonts w:ascii="Times New Roman" w:hAnsi="Times New Roman" w:cs="Times New Roman"/>
          <w:sz w:val="24"/>
          <w:szCs w:val="24"/>
        </w:rPr>
        <w:t xml:space="preserve">«Понимание составляет единство двух начал. </w:t>
      </w:r>
      <w:proofErr w:type="gramStart"/>
      <w:r w:rsidRPr="005E54D3">
        <w:rPr>
          <w:rFonts w:ascii="Times New Roman" w:hAnsi="Times New Roman" w:cs="Times New Roman"/>
          <w:sz w:val="24"/>
          <w:szCs w:val="24"/>
        </w:rPr>
        <w:t>Это, во-первых, интуитивное постижение предмета, его «схватывание» как целого и, во-вторых, на основе непосредственного понимания, вслед за ним возникает и упрочивается истолкование (интерпретация).</w:t>
      </w:r>
      <w:proofErr w:type="gramEnd"/>
      <w:r w:rsidRPr="005E54D3">
        <w:rPr>
          <w:rFonts w:ascii="Times New Roman" w:hAnsi="Times New Roman" w:cs="Times New Roman"/>
          <w:sz w:val="24"/>
          <w:szCs w:val="24"/>
        </w:rPr>
        <w:t xml:space="preserve"> В истолковании непосредственное (интуитивное) понимание оформляется и рационализируется…Интерпретатору не </w:t>
      </w:r>
      <w:proofErr w:type="spellStart"/>
      <w:r w:rsidRPr="005E54D3">
        <w:rPr>
          <w:rFonts w:ascii="Times New Roman" w:hAnsi="Times New Roman" w:cs="Times New Roman"/>
          <w:sz w:val="24"/>
          <w:szCs w:val="24"/>
        </w:rPr>
        <w:t>подобают</w:t>
      </w:r>
      <w:proofErr w:type="spellEnd"/>
      <w:r w:rsidRPr="005E54D3">
        <w:rPr>
          <w:rFonts w:ascii="Times New Roman" w:hAnsi="Times New Roman" w:cs="Times New Roman"/>
          <w:sz w:val="24"/>
          <w:szCs w:val="24"/>
        </w:rPr>
        <w:t xml:space="preserve"> притязания на владение полной истиной о произведении и стоящем за ним лице. Понимание всегда относительно». </w:t>
      </w:r>
      <w:proofErr w:type="gramStart"/>
      <w:r w:rsidRPr="005E54D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E54D3">
        <w:rPr>
          <w:rFonts w:ascii="Times New Roman" w:hAnsi="Times New Roman" w:cs="Times New Roman"/>
          <w:sz w:val="24"/>
          <w:szCs w:val="24"/>
        </w:rPr>
        <w:t>Хализев</w:t>
      </w:r>
      <w:proofErr w:type="spellEnd"/>
      <w:r w:rsidRPr="005E54D3">
        <w:rPr>
          <w:rFonts w:ascii="Times New Roman" w:hAnsi="Times New Roman" w:cs="Times New Roman"/>
          <w:sz w:val="24"/>
          <w:szCs w:val="24"/>
        </w:rPr>
        <w:t xml:space="preserve"> В.Е. Теория литературы.</w:t>
      </w:r>
      <w:proofErr w:type="gramEnd"/>
      <w:r w:rsidRPr="005E54D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E54D3">
        <w:rPr>
          <w:rFonts w:ascii="Times New Roman" w:hAnsi="Times New Roman" w:cs="Times New Roman"/>
          <w:sz w:val="24"/>
          <w:szCs w:val="24"/>
        </w:rPr>
        <w:t xml:space="preserve">М., 2002, с.142)  </w:t>
      </w:r>
      <w:proofErr w:type="gramEnd"/>
    </w:p>
    <w:p w:rsidR="000B5F30" w:rsidRDefault="00C93FEE" w:rsidP="007D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Композиция художественного текста.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5F2">
        <w:rPr>
          <w:rFonts w:ascii="Times New Roman" w:hAnsi="Times New Roman" w:cs="Times New Roman"/>
          <w:sz w:val="24"/>
          <w:szCs w:val="24"/>
        </w:rPr>
        <w:t xml:space="preserve">«Предполагается, что структуру художественного текста можно описать, если вычленить различные точки зрения, то есть авторские позиции, с которых ведётся повествование (описание), и исследовать отношения между ними». </w:t>
      </w:r>
      <w:proofErr w:type="gramStart"/>
      <w:r w:rsidRPr="007D55F2">
        <w:rPr>
          <w:rFonts w:ascii="Times New Roman" w:hAnsi="Times New Roman" w:cs="Times New Roman"/>
          <w:sz w:val="24"/>
          <w:szCs w:val="24"/>
        </w:rPr>
        <w:t>(Успенский Б. Поэтика композиции.</w:t>
      </w:r>
      <w:proofErr w:type="gramEnd"/>
      <w:r w:rsidRPr="007D55F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7D55F2">
        <w:rPr>
          <w:rFonts w:ascii="Times New Roman" w:hAnsi="Times New Roman" w:cs="Times New Roman"/>
          <w:sz w:val="24"/>
          <w:szCs w:val="24"/>
        </w:rPr>
        <w:t>СПб, 2000, с.16)</w:t>
      </w:r>
      <w:r w:rsidR="007D55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757A5" w:rsidRDefault="007757A5" w:rsidP="00775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A5">
        <w:rPr>
          <w:rFonts w:ascii="Times New Roman" w:hAnsi="Times New Roman" w:cs="Times New Roman"/>
          <w:sz w:val="24"/>
          <w:szCs w:val="24"/>
          <w:u w:val="single"/>
        </w:rPr>
        <w:t>Композиционный анализ художественного произведения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7A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57A5">
        <w:rPr>
          <w:rFonts w:ascii="Times New Roman" w:hAnsi="Times New Roman" w:cs="Times New Roman"/>
          <w:sz w:val="24"/>
          <w:szCs w:val="24"/>
        </w:rPr>
        <w:t xml:space="preserve">се компоненты художественной структуры (факты, набор этих фактов, их расположение, характер и способ описания и т.д.) важны не сами по себе, а как отражение эстетической программы (мысли, задумки) автора, который отобрал материал и обработал его в соответствии со своим пониманием, отношением и оценкой». </w:t>
      </w:r>
      <w:proofErr w:type="gramStart"/>
      <w:r w:rsidRPr="007757A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757A5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7757A5">
        <w:rPr>
          <w:rFonts w:ascii="Times New Roman" w:hAnsi="Times New Roman" w:cs="Times New Roman"/>
          <w:sz w:val="24"/>
          <w:szCs w:val="24"/>
        </w:rPr>
        <w:t xml:space="preserve"> Л. Композиционный анализ художественного текста.</w:t>
      </w:r>
      <w:proofErr w:type="gramEnd"/>
      <w:r w:rsidRPr="007757A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7757A5">
        <w:rPr>
          <w:rFonts w:ascii="Times New Roman" w:hAnsi="Times New Roman" w:cs="Times New Roman"/>
          <w:sz w:val="24"/>
          <w:szCs w:val="24"/>
        </w:rPr>
        <w:t>М., 2000, с.88)</w:t>
      </w:r>
      <w:proofErr w:type="gramEnd"/>
    </w:p>
    <w:p w:rsidR="007A4786" w:rsidRPr="007A4786" w:rsidRDefault="007A4786" w:rsidP="007A4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86">
        <w:rPr>
          <w:rFonts w:ascii="Times New Roman" w:hAnsi="Times New Roman" w:cs="Times New Roman"/>
          <w:sz w:val="24"/>
          <w:szCs w:val="24"/>
          <w:u w:val="single"/>
        </w:rPr>
        <w:t>Языковая композиция</w:t>
      </w:r>
      <w:r w:rsidRPr="007A4786">
        <w:rPr>
          <w:rFonts w:ascii="Times New Roman" w:hAnsi="Times New Roman" w:cs="Times New Roman"/>
          <w:sz w:val="24"/>
          <w:szCs w:val="24"/>
        </w:rPr>
        <w:t xml:space="preserve"> – это сопоставление, противопоставление и чередование словесных рядов в художественном тексте.</w:t>
      </w:r>
    </w:p>
    <w:p w:rsidR="007757A5" w:rsidRPr="008A4ED9" w:rsidRDefault="008A4ED9" w:rsidP="007A4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Методический приём</w:t>
      </w:r>
      <w:r>
        <w:rPr>
          <w:rFonts w:ascii="Times New Roman" w:hAnsi="Times New Roman" w:cs="Times New Roman"/>
          <w:sz w:val="24"/>
          <w:szCs w:val="24"/>
        </w:rPr>
        <w:t xml:space="preserve"> – относительно законченная часть метода педагогической деятельности.</w:t>
      </w:r>
    </w:p>
    <w:p w:rsidR="007757A5" w:rsidRPr="007757A5" w:rsidRDefault="007757A5" w:rsidP="00775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57A5" w:rsidRPr="007757A5" w:rsidRDefault="007757A5" w:rsidP="00775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757A5" w:rsidRPr="007757A5" w:rsidSect="000B5F30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5F30"/>
    <w:rsid w:val="00097482"/>
    <w:rsid w:val="000A5ABF"/>
    <w:rsid w:val="000B5F30"/>
    <w:rsid w:val="00545419"/>
    <w:rsid w:val="005E54D3"/>
    <w:rsid w:val="007757A5"/>
    <w:rsid w:val="007957E4"/>
    <w:rsid w:val="007A4786"/>
    <w:rsid w:val="007D55F2"/>
    <w:rsid w:val="008A4ED9"/>
    <w:rsid w:val="00C93FEE"/>
    <w:rsid w:val="00E52B0A"/>
    <w:rsid w:val="00EB2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9</cp:revision>
  <dcterms:created xsi:type="dcterms:W3CDTF">2010-04-14T14:11:00Z</dcterms:created>
  <dcterms:modified xsi:type="dcterms:W3CDTF">2010-04-18T12:36:00Z</dcterms:modified>
</cp:coreProperties>
</file>